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7C40" w14:textId="77777777" w:rsidR="008D523C" w:rsidRDefault="008D523C" w:rsidP="008D523C">
      <w:pPr>
        <w:pStyle w:val="Title"/>
        <w:jc w:val="center"/>
        <w:rPr>
          <w:rFonts w:ascii="Times New Roman" w:hAnsi="Times New Roman" w:cs="Times New Roman"/>
          <w:sz w:val="96"/>
          <w:szCs w:val="96"/>
        </w:rPr>
      </w:pPr>
      <w:r w:rsidRPr="00F75196">
        <w:rPr>
          <w:rFonts w:ascii="Times New Roman" w:hAnsi="Times New Roman" w:cs="Times New Roman"/>
          <w:noProof/>
          <w:sz w:val="96"/>
          <w:szCs w:val="96"/>
        </w:rPr>
        <mc:AlternateContent>
          <mc:Choice Requires="wps">
            <w:drawing>
              <wp:anchor distT="0" distB="0" distL="114300" distR="114300" simplePos="0" relativeHeight="251659264" behindDoc="0" locked="0" layoutInCell="1" allowOverlap="1" wp14:anchorId="35F7C48A" wp14:editId="7D3BBB4B">
                <wp:simplePos x="0" y="0"/>
                <wp:positionH relativeFrom="column">
                  <wp:posOffset>-2280062</wp:posOffset>
                </wp:positionH>
                <wp:positionV relativeFrom="paragraph">
                  <wp:posOffset>-955964</wp:posOffset>
                </wp:positionV>
                <wp:extent cx="2095500" cy="10799907"/>
                <wp:effectExtent l="0" t="0" r="19050" b="20955"/>
                <wp:wrapNone/>
                <wp:docPr id="242863011" name="Rectangle 2"/>
                <wp:cNvGraphicFramePr/>
                <a:graphic xmlns:a="http://schemas.openxmlformats.org/drawingml/2006/main">
                  <a:graphicData uri="http://schemas.microsoft.com/office/word/2010/wordprocessingShape">
                    <wps:wsp>
                      <wps:cNvSpPr/>
                      <wps:spPr>
                        <a:xfrm>
                          <a:off x="0" y="0"/>
                          <a:ext cx="2095500" cy="1079990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0F563" id="Rectangle 2" o:spid="_x0000_s1026" style="position:absolute;margin-left:-179.55pt;margin-top:-75.25pt;width:16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" fillcolor="#156082 [3204]" strokecolor="#030e13 [484]" strokeweight="1pt"/>
            </w:pict>
          </mc:Fallback>
        </mc:AlternateContent>
      </w:r>
    </w:p>
    <w:p w14:paraId="46F78D33" w14:textId="096F4C64" w:rsidR="008D523C" w:rsidRPr="00F75196" w:rsidRDefault="00880D6D" w:rsidP="008D523C">
      <w:pPr>
        <w:pStyle w:val="Title"/>
        <w:jc w:val="center"/>
        <w:rPr>
          <w:rFonts w:ascii="Times New Roman" w:hAnsi="Times New Roman" w:cs="Times New Roman"/>
          <w:sz w:val="96"/>
          <w:szCs w:val="96"/>
        </w:rPr>
      </w:pPr>
      <w:r>
        <w:rPr>
          <w:rFonts w:ascii="Times New Roman" w:hAnsi="Times New Roman" w:cs="Times New Roman"/>
          <w:sz w:val="96"/>
          <w:szCs w:val="96"/>
        </w:rPr>
        <w:t>WHONET</w:t>
      </w:r>
      <w:r w:rsidR="008D523C">
        <w:rPr>
          <w:rFonts w:ascii="Times New Roman" w:hAnsi="Times New Roman" w:cs="Times New Roman"/>
          <w:sz w:val="96"/>
          <w:szCs w:val="96"/>
        </w:rPr>
        <w:t xml:space="preserve"> – InFARM Data </w:t>
      </w:r>
      <w:r w:rsidR="0022084B">
        <w:rPr>
          <w:rFonts w:ascii="Times New Roman" w:hAnsi="Times New Roman" w:cs="Times New Roman"/>
          <w:sz w:val="96"/>
          <w:szCs w:val="96"/>
        </w:rPr>
        <w:t>Validation</w:t>
      </w:r>
      <w:r w:rsidR="007F5263">
        <w:rPr>
          <w:rFonts w:ascii="Times New Roman" w:hAnsi="Times New Roman" w:cs="Times New Roman"/>
          <w:sz w:val="96"/>
          <w:szCs w:val="96"/>
        </w:rPr>
        <w:t xml:space="preserve"> Report</w:t>
      </w:r>
    </w:p>
    <w:p w14:paraId="21F0B139" w14:textId="77777777" w:rsidR="008D523C" w:rsidRDefault="008D523C" w:rsidP="008D523C">
      <w:pPr>
        <w:pStyle w:val="Heading2"/>
      </w:pPr>
    </w:p>
    <w:p w14:paraId="29CBAD6D" w14:textId="77777777" w:rsidR="008D523C" w:rsidRDefault="008D523C" w:rsidP="008D523C"/>
    <w:p w14:paraId="05C900A6" w14:textId="77777777" w:rsidR="008D523C" w:rsidRDefault="008D523C" w:rsidP="008D523C"/>
    <w:p w14:paraId="0B2A8FD0" w14:textId="77777777" w:rsidR="008D523C" w:rsidRDefault="008D523C" w:rsidP="008D523C"/>
    <w:p w14:paraId="7ADBD82E" w14:textId="77777777" w:rsidR="008D523C" w:rsidRDefault="008D523C" w:rsidP="008D523C"/>
    <w:p w14:paraId="5F0150B3" w14:textId="77777777" w:rsidR="008D523C" w:rsidRDefault="008D523C" w:rsidP="008D523C"/>
    <w:p w14:paraId="5081C3C2" w14:textId="77777777" w:rsidR="008D523C" w:rsidRDefault="008D523C" w:rsidP="008D523C"/>
    <w:p w14:paraId="1D3FD66D" w14:textId="77777777" w:rsidR="008D523C" w:rsidRDefault="008D523C" w:rsidP="008D523C"/>
    <w:p w14:paraId="3511CB1F" w14:textId="77777777" w:rsidR="008D523C" w:rsidRDefault="008D523C" w:rsidP="008D523C"/>
    <w:p w14:paraId="06AA2E98" w14:textId="77777777" w:rsidR="008D523C" w:rsidRDefault="008D523C" w:rsidP="008D523C"/>
    <w:p w14:paraId="49CA37E3" w14:textId="77777777" w:rsidR="008D523C" w:rsidRDefault="008D523C" w:rsidP="008D523C"/>
    <w:p w14:paraId="6DCEE1EB" w14:textId="77777777" w:rsidR="008D523C" w:rsidRDefault="008D523C" w:rsidP="008D523C">
      <w:pPr>
        <w:jc w:val="right"/>
      </w:pPr>
    </w:p>
    <w:p w14:paraId="34BDE823" w14:textId="77777777" w:rsidR="008D523C" w:rsidRDefault="008D523C" w:rsidP="008D523C">
      <w:pPr>
        <w:jc w:val="right"/>
        <w:sectPr w:rsidR="008D523C" w:rsidSect="00D82582">
          <w:footerReference w:type="default" r:id="rId7"/>
          <w:pgSz w:w="12240" w:h="15840"/>
          <w:pgMar w:top="1440" w:right="1440" w:bottom="1440" w:left="3600" w:header="720" w:footer="720" w:gutter="0"/>
          <w:cols w:space="720"/>
          <w:docGrid w:linePitch="360"/>
        </w:sectPr>
      </w:pPr>
    </w:p>
    <w:p w14:paraId="747F529D" w14:textId="77777777" w:rsidR="008D523C" w:rsidRDefault="008D523C" w:rsidP="008D523C">
      <w:pPr>
        <w:jc w:val="right"/>
        <w:sectPr w:rsidR="008D523C" w:rsidSect="00D82582">
          <w:type w:val="continuous"/>
          <w:pgSz w:w="12240" w:h="15840"/>
          <w:pgMar w:top="1440" w:right="1440" w:bottom="1440" w:left="3600" w:header="720" w:footer="720" w:gutter="0"/>
          <w:cols w:num="2" w:space="720"/>
          <w:docGrid w:linePitch="360"/>
        </w:sectPr>
      </w:pPr>
    </w:p>
    <w:p w14:paraId="53915150" w14:textId="77777777" w:rsidR="008D523C" w:rsidRDefault="008D523C" w:rsidP="008D523C">
      <w:pPr>
        <w:jc w:val="right"/>
      </w:pPr>
      <w:r>
        <w:rPr>
          <w:noProof/>
        </w:rPr>
        <w:drawing>
          <wp:inline distT="0" distB="0" distL="0" distR="0" wp14:anchorId="778D324A" wp14:editId="7ECF3F6F">
            <wp:extent cx="1567543" cy="1567543"/>
            <wp:effectExtent l="0" t="0" r="0" b="0"/>
            <wp:docPr id="740072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072891" name="Picture 7400728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2746" cy="1602746"/>
                    </a:xfrm>
                    <a:prstGeom prst="rect">
                      <a:avLst/>
                    </a:prstGeom>
                  </pic:spPr>
                </pic:pic>
              </a:graphicData>
            </a:graphic>
          </wp:inline>
        </w:drawing>
      </w:r>
      <w:r w:rsidRPr="00FC511F">
        <w:t xml:space="preserve"> </w:t>
      </w:r>
    </w:p>
    <w:p w14:paraId="08E942B5" w14:textId="77777777" w:rsidR="008D523C" w:rsidRDefault="008D523C" w:rsidP="008D523C"/>
    <w:p w14:paraId="77B0C8A8" w14:textId="77777777" w:rsidR="008D523C" w:rsidRDefault="008D523C" w:rsidP="008D523C">
      <w:pPr>
        <w:rPr>
          <w:rFonts w:ascii="Times New Roman" w:hAnsi="Times New Roman" w:cs="Times New Roman"/>
        </w:rPr>
      </w:pPr>
    </w:p>
    <w:p w14:paraId="540EC9FE" w14:textId="77777777" w:rsidR="008D523C" w:rsidRPr="00F75196" w:rsidRDefault="008D523C" w:rsidP="008D523C">
      <w:pPr>
        <w:rPr>
          <w:rFonts w:ascii="Times New Roman" w:hAnsi="Times New Roman" w:cs="Times New Roman"/>
        </w:rPr>
      </w:pPr>
      <w:r w:rsidRPr="00F75196">
        <w:rPr>
          <w:rFonts w:ascii="Times New Roman" w:hAnsi="Times New Roman" w:cs="Times New Roman"/>
        </w:rPr>
        <w:t>WHO Collaborating Centre for Surveillance of Antimicrobial Resistance</w:t>
      </w:r>
    </w:p>
    <w:p w14:paraId="566803F1" w14:textId="4BE3DF61" w:rsidR="008D523C" w:rsidRPr="00F75196" w:rsidRDefault="008D523C" w:rsidP="008D523C">
      <w:pPr>
        <w:rPr>
          <w:rFonts w:ascii="Times New Roman" w:hAnsi="Times New Roman" w:cs="Times New Roman"/>
        </w:rPr>
        <w:sectPr w:rsidR="008D523C" w:rsidRPr="00F75196" w:rsidSect="00D82582">
          <w:type w:val="continuous"/>
          <w:pgSz w:w="12240" w:h="15840"/>
          <w:pgMar w:top="1440" w:right="1440" w:bottom="1440" w:left="3600" w:header="720" w:footer="720" w:gutter="0"/>
          <w:cols w:num="2" w:space="720"/>
          <w:docGrid w:linePitch="360"/>
        </w:sectPr>
      </w:pPr>
      <w:r w:rsidRPr="00F75196">
        <w:rPr>
          <w:rFonts w:ascii="Times New Roman" w:hAnsi="Times New Roman" w:cs="Times New Roman"/>
        </w:rPr>
        <w:t xml:space="preserve">Boston, </w:t>
      </w:r>
      <w:r w:rsidR="008C46A1">
        <w:rPr>
          <w:rFonts w:ascii="Times New Roman" w:hAnsi="Times New Roman" w:cs="Times New Roman"/>
        </w:rPr>
        <w:t>October</w:t>
      </w:r>
      <w:r w:rsidRPr="00F75196">
        <w:rPr>
          <w:rFonts w:ascii="Times New Roman" w:hAnsi="Times New Roman" w:cs="Times New Roman"/>
        </w:rPr>
        <w:t xml:space="preserve"> 202</w:t>
      </w:r>
      <w:r w:rsidR="00F97315">
        <w:rPr>
          <w:rFonts w:ascii="Times New Roman" w:hAnsi="Times New Roman" w:cs="Times New Roman"/>
        </w:rPr>
        <w:t>5</w:t>
      </w:r>
    </w:p>
    <w:sdt>
      <w:sdtPr>
        <w:rPr>
          <w:rFonts w:asciiTheme="minorHAnsi" w:eastAsiaTheme="minorHAnsi" w:hAnsiTheme="minorHAnsi" w:cstheme="minorBidi"/>
          <w:color w:val="auto"/>
          <w:sz w:val="22"/>
          <w:szCs w:val="22"/>
        </w:rPr>
        <w:id w:val="-1230775072"/>
        <w:docPartObj>
          <w:docPartGallery w:val="Table of Contents"/>
          <w:docPartUnique/>
        </w:docPartObj>
      </w:sdtPr>
      <w:sdtEndPr>
        <w:rPr>
          <w:b/>
          <w:bCs/>
          <w:noProof/>
        </w:rPr>
      </w:sdtEndPr>
      <w:sdtContent>
        <w:p w14:paraId="6F6C1940" w14:textId="77777777" w:rsidR="008D523C" w:rsidRDefault="008D523C" w:rsidP="008D523C">
          <w:pPr>
            <w:pStyle w:val="TOCHeading"/>
          </w:pPr>
          <w:r>
            <w:t>Table of Contents</w:t>
          </w:r>
        </w:p>
        <w:p w14:paraId="5CAB2E28" w14:textId="1481D268" w:rsidR="006562ED" w:rsidRDefault="008D523C">
          <w:pPr>
            <w:pStyle w:val="TOC2"/>
            <w:tabs>
              <w:tab w:val="left" w:pos="720"/>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3350531" w:history="1">
            <w:r w:rsidR="006562ED" w:rsidRPr="00260782">
              <w:rPr>
                <w:rStyle w:val="Hyperlink"/>
                <w:noProof/>
              </w:rPr>
              <w:t>1.</w:t>
            </w:r>
            <w:r w:rsidR="006562ED">
              <w:rPr>
                <w:rFonts w:eastAsiaTheme="minorEastAsia"/>
                <w:noProof/>
                <w:kern w:val="2"/>
                <w:sz w:val="24"/>
                <w:szCs w:val="24"/>
                <w14:ligatures w14:val="standardContextual"/>
              </w:rPr>
              <w:tab/>
            </w:r>
            <w:r w:rsidR="006562ED" w:rsidRPr="00260782">
              <w:rPr>
                <w:rStyle w:val="Hyperlink"/>
                <w:noProof/>
              </w:rPr>
              <w:t>Background</w:t>
            </w:r>
            <w:r w:rsidR="006562ED">
              <w:rPr>
                <w:noProof/>
                <w:webHidden/>
              </w:rPr>
              <w:tab/>
            </w:r>
            <w:r w:rsidR="006562ED">
              <w:rPr>
                <w:noProof/>
                <w:webHidden/>
              </w:rPr>
              <w:fldChar w:fldCharType="begin"/>
            </w:r>
            <w:r w:rsidR="006562ED">
              <w:rPr>
                <w:noProof/>
                <w:webHidden/>
              </w:rPr>
              <w:instrText xml:space="preserve"> PAGEREF _Toc213350531 \h </w:instrText>
            </w:r>
            <w:r w:rsidR="006562ED">
              <w:rPr>
                <w:noProof/>
                <w:webHidden/>
              </w:rPr>
            </w:r>
            <w:r w:rsidR="006562ED">
              <w:rPr>
                <w:noProof/>
                <w:webHidden/>
              </w:rPr>
              <w:fldChar w:fldCharType="separate"/>
            </w:r>
            <w:r w:rsidR="006562ED">
              <w:rPr>
                <w:noProof/>
                <w:webHidden/>
              </w:rPr>
              <w:t>2</w:t>
            </w:r>
            <w:r w:rsidR="006562ED">
              <w:rPr>
                <w:noProof/>
                <w:webHidden/>
              </w:rPr>
              <w:fldChar w:fldCharType="end"/>
            </w:r>
          </w:hyperlink>
        </w:p>
        <w:p w14:paraId="2E169CD5" w14:textId="4730DC64" w:rsidR="006562ED" w:rsidRDefault="006562ED">
          <w:pPr>
            <w:pStyle w:val="TOC2"/>
            <w:tabs>
              <w:tab w:val="left" w:pos="720"/>
              <w:tab w:val="right" w:leader="dot" w:pos="9350"/>
            </w:tabs>
            <w:rPr>
              <w:rFonts w:eastAsiaTheme="minorEastAsia"/>
              <w:noProof/>
              <w:kern w:val="2"/>
              <w:sz w:val="24"/>
              <w:szCs w:val="24"/>
              <w14:ligatures w14:val="standardContextual"/>
            </w:rPr>
          </w:pPr>
          <w:hyperlink w:anchor="_Toc213350532" w:history="1">
            <w:r w:rsidRPr="00260782">
              <w:rPr>
                <w:rStyle w:val="Hyperlink"/>
                <w:noProof/>
              </w:rPr>
              <w:t>2.</w:t>
            </w:r>
            <w:r>
              <w:rPr>
                <w:rFonts w:eastAsiaTheme="minorEastAsia"/>
                <w:noProof/>
                <w:kern w:val="2"/>
                <w:sz w:val="24"/>
                <w:szCs w:val="24"/>
                <w14:ligatures w14:val="standardContextual"/>
              </w:rPr>
              <w:tab/>
            </w:r>
            <w:r w:rsidRPr="00260782">
              <w:rPr>
                <w:rStyle w:val="Hyperlink"/>
                <w:noProof/>
              </w:rPr>
              <w:t>About this document</w:t>
            </w:r>
            <w:r>
              <w:rPr>
                <w:noProof/>
                <w:webHidden/>
              </w:rPr>
              <w:tab/>
            </w:r>
            <w:r>
              <w:rPr>
                <w:noProof/>
                <w:webHidden/>
              </w:rPr>
              <w:fldChar w:fldCharType="begin"/>
            </w:r>
            <w:r>
              <w:rPr>
                <w:noProof/>
                <w:webHidden/>
              </w:rPr>
              <w:instrText xml:space="preserve"> PAGEREF _Toc213350532 \h </w:instrText>
            </w:r>
            <w:r>
              <w:rPr>
                <w:noProof/>
                <w:webHidden/>
              </w:rPr>
            </w:r>
            <w:r>
              <w:rPr>
                <w:noProof/>
                <w:webHidden/>
              </w:rPr>
              <w:fldChar w:fldCharType="separate"/>
            </w:r>
            <w:r>
              <w:rPr>
                <w:noProof/>
                <w:webHidden/>
              </w:rPr>
              <w:t>2</w:t>
            </w:r>
            <w:r>
              <w:rPr>
                <w:noProof/>
                <w:webHidden/>
              </w:rPr>
              <w:fldChar w:fldCharType="end"/>
            </w:r>
          </w:hyperlink>
        </w:p>
        <w:p w14:paraId="348B6B3A" w14:textId="306F4C4C" w:rsidR="006562ED" w:rsidRDefault="006562ED">
          <w:pPr>
            <w:pStyle w:val="TOC2"/>
            <w:tabs>
              <w:tab w:val="left" w:pos="720"/>
              <w:tab w:val="right" w:leader="dot" w:pos="9350"/>
            </w:tabs>
            <w:rPr>
              <w:rFonts w:eastAsiaTheme="minorEastAsia"/>
              <w:noProof/>
              <w:kern w:val="2"/>
              <w:sz w:val="24"/>
              <w:szCs w:val="24"/>
              <w14:ligatures w14:val="standardContextual"/>
            </w:rPr>
          </w:pPr>
          <w:hyperlink w:anchor="_Toc213350533" w:history="1">
            <w:r w:rsidRPr="00260782">
              <w:rPr>
                <w:rStyle w:val="Hyperlink"/>
                <w:noProof/>
              </w:rPr>
              <w:t>3.</w:t>
            </w:r>
            <w:r>
              <w:rPr>
                <w:rFonts w:eastAsiaTheme="minorEastAsia"/>
                <w:noProof/>
                <w:kern w:val="2"/>
                <w:sz w:val="24"/>
                <w:szCs w:val="24"/>
                <w14:ligatures w14:val="standardContextual"/>
              </w:rPr>
              <w:tab/>
            </w:r>
            <w:r w:rsidRPr="00260782">
              <w:rPr>
                <w:rStyle w:val="Hyperlink"/>
                <w:noProof/>
              </w:rPr>
              <w:t>Differences between Option A and Option B reports</w:t>
            </w:r>
            <w:r>
              <w:rPr>
                <w:noProof/>
                <w:webHidden/>
              </w:rPr>
              <w:tab/>
            </w:r>
            <w:r>
              <w:rPr>
                <w:noProof/>
                <w:webHidden/>
              </w:rPr>
              <w:fldChar w:fldCharType="begin"/>
            </w:r>
            <w:r>
              <w:rPr>
                <w:noProof/>
                <w:webHidden/>
              </w:rPr>
              <w:instrText xml:space="preserve"> PAGEREF _Toc213350533 \h </w:instrText>
            </w:r>
            <w:r>
              <w:rPr>
                <w:noProof/>
                <w:webHidden/>
              </w:rPr>
            </w:r>
            <w:r>
              <w:rPr>
                <w:noProof/>
                <w:webHidden/>
              </w:rPr>
              <w:fldChar w:fldCharType="separate"/>
            </w:r>
            <w:r>
              <w:rPr>
                <w:noProof/>
                <w:webHidden/>
              </w:rPr>
              <w:t>3</w:t>
            </w:r>
            <w:r>
              <w:rPr>
                <w:noProof/>
                <w:webHidden/>
              </w:rPr>
              <w:fldChar w:fldCharType="end"/>
            </w:r>
          </w:hyperlink>
        </w:p>
        <w:p w14:paraId="639D4D5C" w14:textId="6F4E46EB" w:rsidR="006562ED" w:rsidRDefault="006562ED">
          <w:pPr>
            <w:pStyle w:val="TOC2"/>
            <w:tabs>
              <w:tab w:val="left" w:pos="720"/>
              <w:tab w:val="right" w:leader="dot" w:pos="9350"/>
            </w:tabs>
            <w:rPr>
              <w:rFonts w:eastAsiaTheme="minorEastAsia"/>
              <w:noProof/>
              <w:kern w:val="2"/>
              <w:sz w:val="24"/>
              <w:szCs w:val="24"/>
              <w14:ligatures w14:val="standardContextual"/>
            </w:rPr>
          </w:pPr>
          <w:hyperlink w:anchor="_Toc213350534" w:history="1">
            <w:r w:rsidRPr="00260782">
              <w:rPr>
                <w:rStyle w:val="Hyperlink"/>
                <w:noProof/>
              </w:rPr>
              <w:t>4.</w:t>
            </w:r>
            <w:r>
              <w:rPr>
                <w:rFonts w:eastAsiaTheme="minorEastAsia"/>
                <w:noProof/>
                <w:kern w:val="2"/>
                <w:sz w:val="24"/>
                <w:szCs w:val="24"/>
                <w14:ligatures w14:val="standardContextual"/>
              </w:rPr>
              <w:tab/>
            </w:r>
            <w:r w:rsidRPr="00260782">
              <w:rPr>
                <w:rStyle w:val="Hyperlink"/>
                <w:noProof/>
              </w:rPr>
              <w:t>Report overview</w:t>
            </w:r>
            <w:r>
              <w:rPr>
                <w:noProof/>
                <w:webHidden/>
              </w:rPr>
              <w:tab/>
            </w:r>
            <w:r>
              <w:rPr>
                <w:noProof/>
                <w:webHidden/>
              </w:rPr>
              <w:fldChar w:fldCharType="begin"/>
            </w:r>
            <w:r>
              <w:rPr>
                <w:noProof/>
                <w:webHidden/>
              </w:rPr>
              <w:instrText xml:space="preserve"> PAGEREF _Toc213350534 \h </w:instrText>
            </w:r>
            <w:r>
              <w:rPr>
                <w:noProof/>
                <w:webHidden/>
              </w:rPr>
            </w:r>
            <w:r>
              <w:rPr>
                <w:noProof/>
                <w:webHidden/>
              </w:rPr>
              <w:fldChar w:fldCharType="separate"/>
            </w:r>
            <w:r>
              <w:rPr>
                <w:noProof/>
                <w:webHidden/>
              </w:rPr>
              <w:t>3</w:t>
            </w:r>
            <w:r>
              <w:rPr>
                <w:noProof/>
                <w:webHidden/>
              </w:rPr>
              <w:fldChar w:fldCharType="end"/>
            </w:r>
          </w:hyperlink>
        </w:p>
        <w:p w14:paraId="24ADB297" w14:textId="07D1F9BF" w:rsidR="006562ED" w:rsidRDefault="006562ED">
          <w:pPr>
            <w:pStyle w:val="TOC2"/>
            <w:tabs>
              <w:tab w:val="left" w:pos="720"/>
              <w:tab w:val="right" w:leader="dot" w:pos="9350"/>
            </w:tabs>
            <w:rPr>
              <w:rFonts w:eastAsiaTheme="minorEastAsia"/>
              <w:noProof/>
              <w:kern w:val="2"/>
              <w:sz w:val="24"/>
              <w:szCs w:val="24"/>
              <w14:ligatures w14:val="standardContextual"/>
            </w:rPr>
          </w:pPr>
          <w:hyperlink w:anchor="_Toc213350535" w:history="1">
            <w:r w:rsidRPr="00260782">
              <w:rPr>
                <w:rStyle w:val="Hyperlink"/>
                <w:noProof/>
              </w:rPr>
              <w:t>5.</w:t>
            </w:r>
            <w:r>
              <w:rPr>
                <w:rFonts w:eastAsiaTheme="minorEastAsia"/>
                <w:noProof/>
                <w:kern w:val="2"/>
                <w:sz w:val="24"/>
                <w:szCs w:val="24"/>
                <w14:ligatures w14:val="standardContextual"/>
              </w:rPr>
              <w:tab/>
            </w:r>
            <w:r w:rsidRPr="00260782">
              <w:rPr>
                <w:rStyle w:val="Hyperlink"/>
                <w:noProof/>
              </w:rPr>
              <w:t>Missing data checks</w:t>
            </w:r>
            <w:r>
              <w:rPr>
                <w:noProof/>
                <w:webHidden/>
              </w:rPr>
              <w:tab/>
            </w:r>
            <w:r>
              <w:rPr>
                <w:noProof/>
                <w:webHidden/>
              </w:rPr>
              <w:fldChar w:fldCharType="begin"/>
            </w:r>
            <w:r>
              <w:rPr>
                <w:noProof/>
                <w:webHidden/>
              </w:rPr>
              <w:instrText xml:space="preserve"> PAGEREF _Toc213350535 \h </w:instrText>
            </w:r>
            <w:r>
              <w:rPr>
                <w:noProof/>
                <w:webHidden/>
              </w:rPr>
            </w:r>
            <w:r>
              <w:rPr>
                <w:noProof/>
                <w:webHidden/>
              </w:rPr>
              <w:fldChar w:fldCharType="separate"/>
            </w:r>
            <w:r>
              <w:rPr>
                <w:noProof/>
                <w:webHidden/>
              </w:rPr>
              <w:t>3</w:t>
            </w:r>
            <w:r>
              <w:rPr>
                <w:noProof/>
                <w:webHidden/>
              </w:rPr>
              <w:fldChar w:fldCharType="end"/>
            </w:r>
          </w:hyperlink>
        </w:p>
        <w:p w14:paraId="36A92179" w14:textId="09566EBF" w:rsidR="006562ED" w:rsidRDefault="006562ED">
          <w:pPr>
            <w:pStyle w:val="TOC2"/>
            <w:tabs>
              <w:tab w:val="left" w:pos="720"/>
              <w:tab w:val="right" w:leader="dot" w:pos="9350"/>
            </w:tabs>
            <w:rPr>
              <w:rFonts w:eastAsiaTheme="minorEastAsia"/>
              <w:noProof/>
              <w:kern w:val="2"/>
              <w:sz w:val="24"/>
              <w:szCs w:val="24"/>
              <w14:ligatures w14:val="standardContextual"/>
            </w:rPr>
          </w:pPr>
          <w:hyperlink w:anchor="_Toc213350536" w:history="1">
            <w:r w:rsidRPr="00260782">
              <w:rPr>
                <w:rStyle w:val="Hyperlink"/>
                <w:noProof/>
              </w:rPr>
              <w:t>6.</w:t>
            </w:r>
            <w:r>
              <w:rPr>
                <w:rFonts w:eastAsiaTheme="minorEastAsia"/>
                <w:noProof/>
                <w:kern w:val="2"/>
                <w:sz w:val="24"/>
                <w:szCs w:val="24"/>
                <w14:ligatures w14:val="standardContextual"/>
              </w:rPr>
              <w:tab/>
            </w:r>
            <w:r w:rsidRPr="00260782">
              <w:rPr>
                <w:rStyle w:val="Hyperlink"/>
                <w:noProof/>
              </w:rPr>
              <w:t>Validation checks</w:t>
            </w:r>
            <w:r>
              <w:rPr>
                <w:noProof/>
                <w:webHidden/>
              </w:rPr>
              <w:tab/>
            </w:r>
            <w:r>
              <w:rPr>
                <w:noProof/>
                <w:webHidden/>
              </w:rPr>
              <w:fldChar w:fldCharType="begin"/>
            </w:r>
            <w:r>
              <w:rPr>
                <w:noProof/>
                <w:webHidden/>
              </w:rPr>
              <w:instrText xml:space="preserve"> PAGEREF _Toc213350536 \h </w:instrText>
            </w:r>
            <w:r>
              <w:rPr>
                <w:noProof/>
                <w:webHidden/>
              </w:rPr>
            </w:r>
            <w:r>
              <w:rPr>
                <w:noProof/>
                <w:webHidden/>
              </w:rPr>
              <w:fldChar w:fldCharType="separate"/>
            </w:r>
            <w:r>
              <w:rPr>
                <w:noProof/>
                <w:webHidden/>
              </w:rPr>
              <w:t>4</w:t>
            </w:r>
            <w:r>
              <w:rPr>
                <w:noProof/>
                <w:webHidden/>
              </w:rPr>
              <w:fldChar w:fldCharType="end"/>
            </w:r>
          </w:hyperlink>
        </w:p>
        <w:p w14:paraId="1175F7E6" w14:textId="53DEDBE4" w:rsidR="006562ED" w:rsidRDefault="006562ED">
          <w:pPr>
            <w:pStyle w:val="TOC2"/>
            <w:tabs>
              <w:tab w:val="left" w:pos="720"/>
              <w:tab w:val="right" w:leader="dot" w:pos="9350"/>
            </w:tabs>
            <w:rPr>
              <w:rFonts w:eastAsiaTheme="minorEastAsia"/>
              <w:noProof/>
              <w:kern w:val="2"/>
              <w:sz w:val="24"/>
              <w:szCs w:val="24"/>
              <w14:ligatures w14:val="standardContextual"/>
            </w:rPr>
          </w:pPr>
          <w:hyperlink w:anchor="_Toc213350537" w:history="1">
            <w:r w:rsidRPr="00260782">
              <w:rPr>
                <w:rStyle w:val="Hyperlink"/>
                <w:noProof/>
              </w:rPr>
              <w:t>7.</w:t>
            </w:r>
            <w:r>
              <w:rPr>
                <w:rFonts w:eastAsiaTheme="minorEastAsia"/>
                <w:noProof/>
                <w:kern w:val="2"/>
                <w:sz w:val="24"/>
                <w:szCs w:val="24"/>
                <w14:ligatures w14:val="standardContextual"/>
              </w:rPr>
              <w:tab/>
            </w:r>
            <w:r w:rsidRPr="00260782">
              <w:rPr>
                <w:rStyle w:val="Hyperlink"/>
                <w:noProof/>
              </w:rPr>
              <w:t>Consistency checks</w:t>
            </w:r>
            <w:r>
              <w:rPr>
                <w:noProof/>
                <w:webHidden/>
              </w:rPr>
              <w:tab/>
            </w:r>
            <w:r>
              <w:rPr>
                <w:noProof/>
                <w:webHidden/>
              </w:rPr>
              <w:fldChar w:fldCharType="begin"/>
            </w:r>
            <w:r>
              <w:rPr>
                <w:noProof/>
                <w:webHidden/>
              </w:rPr>
              <w:instrText xml:space="preserve"> PAGEREF _Toc213350537 \h </w:instrText>
            </w:r>
            <w:r>
              <w:rPr>
                <w:noProof/>
                <w:webHidden/>
              </w:rPr>
            </w:r>
            <w:r>
              <w:rPr>
                <w:noProof/>
                <w:webHidden/>
              </w:rPr>
              <w:fldChar w:fldCharType="separate"/>
            </w:r>
            <w:r>
              <w:rPr>
                <w:noProof/>
                <w:webHidden/>
              </w:rPr>
              <w:t>4</w:t>
            </w:r>
            <w:r>
              <w:rPr>
                <w:noProof/>
                <w:webHidden/>
              </w:rPr>
              <w:fldChar w:fldCharType="end"/>
            </w:r>
          </w:hyperlink>
        </w:p>
        <w:p w14:paraId="1F36B0BC" w14:textId="75B3FD55" w:rsidR="008D523C" w:rsidRDefault="008D523C" w:rsidP="008D523C">
          <w:r>
            <w:rPr>
              <w:b/>
              <w:bCs/>
              <w:noProof/>
            </w:rPr>
            <w:fldChar w:fldCharType="end"/>
          </w:r>
        </w:p>
      </w:sdtContent>
    </w:sdt>
    <w:p w14:paraId="287F5AD1" w14:textId="0FE616BD" w:rsidR="001F66BA" w:rsidRDefault="001F66BA" w:rsidP="000965CC">
      <w:pPr>
        <w:pStyle w:val="Heading2"/>
        <w:numPr>
          <w:ilvl w:val="0"/>
          <w:numId w:val="7"/>
        </w:numPr>
      </w:pPr>
      <w:bookmarkStart w:id="0" w:name="_Toc213350531"/>
      <w:r>
        <w:t>Background</w:t>
      </w:r>
      <w:bookmarkEnd w:id="0"/>
    </w:p>
    <w:p w14:paraId="6752124E" w14:textId="78FD3914" w:rsidR="001F66BA" w:rsidRDefault="001F66BA" w:rsidP="001F66BA">
      <w:r>
        <w:t>InFARM stands for the “International FAO Antimicrobial Resistance Monitoring System”. More information can be found at the following URL:</w:t>
      </w:r>
      <w:r>
        <w:br/>
      </w:r>
      <w:hyperlink r:id="rId9" w:history="1">
        <w:r w:rsidRPr="00A03141">
          <w:rPr>
            <w:rStyle w:val="Hyperlink"/>
          </w:rPr>
          <w:t>https://www.fao.org/antimicrobial-resistance/resources/database/infarm/en/</w:t>
        </w:r>
      </w:hyperlink>
    </w:p>
    <w:p w14:paraId="1AD37E4A" w14:textId="287D56D8" w:rsidR="001F66BA" w:rsidRDefault="001F66BA" w:rsidP="001F66BA">
      <w:r>
        <w:t xml:space="preserve">The InFARM protocol is subdivided into two categories: Model A (isolate-level data) and Model B (aggregate statistics). Countries can choose between submitting more granular data with Model A or aggregate statistics with Model B. Countries make these determinations using the InFARM web </w:t>
      </w:r>
      <w:r w:rsidR="00745183">
        <w:t>portal and</w:t>
      </w:r>
      <w:r>
        <w:t xml:space="preserve"> then use the corresponding settings in WHONET to generate the data files for upload to the portal.</w:t>
      </w:r>
    </w:p>
    <w:p w14:paraId="3289121D" w14:textId="77777777" w:rsidR="001F66BA" w:rsidRPr="001F66BA" w:rsidRDefault="001F66BA" w:rsidP="001F66BA"/>
    <w:p w14:paraId="1026ED39" w14:textId="2B9DBE3C" w:rsidR="008D523C" w:rsidRDefault="008D523C" w:rsidP="00A71D06">
      <w:pPr>
        <w:pStyle w:val="Heading2"/>
        <w:numPr>
          <w:ilvl w:val="0"/>
          <w:numId w:val="7"/>
        </w:numPr>
      </w:pPr>
      <w:bookmarkStart w:id="1" w:name="_Toc213350532"/>
      <w:r>
        <w:t>About this document</w:t>
      </w:r>
      <w:bookmarkEnd w:id="1"/>
    </w:p>
    <w:p w14:paraId="40675DC7" w14:textId="437BDC6C" w:rsidR="008D523C" w:rsidRDefault="00880D6D" w:rsidP="008D523C">
      <w:r>
        <w:t>This document</w:t>
      </w:r>
      <w:r w:rsidR="00425499">
        <w:t xml:space="preserve"> describes the various types of messages contained in the data </w:t>
      </w:r>
      <w:r w:rsidR="00426050">
        <w:t>validation</w:t>
      </w:r>
      <w:r w:rsidR="00425499">
        <w:t xml:space="preserve"> report</w:t>
      </w:r>
      <w:r w:rsidR="009F3186">
        <w:t>s</w:t>
      </w:r>
      <w:r w:rsidR="00425499">
        <w:t xml:space="preserve">, which </w:t>
      </w:r>
      <w:r w:rsidR="009F3186">
        <w:t>are</w:t>
      </w:r>
      <w:r w:rsidR="00425499">
        <w:t xml:space="preserve"> optionally generated by WHONET during the InFARM data export process</w:t>
      </w:r>
      <w:r w:rsidR="009F3186">
        <w:t>es</w:t>
      </w:r>
      <w:r w:rsidR="00425499">
        <w:t>.</w:t>
      </w:r>
      <w:r w:rsidR="002B227C">
        <w:t xml:space="preserve"> You may also generate the data </w:t>
      </w:r>
      <w:r w:rsidR="00426050">
        <w:t>validation</w:t>
      </w:r>
      <w:r w:rsidR="002B227C">
        <w:t xml:space="preserve"> report from an existing InFARM data file, regardless of the source of th</w:t>
      </w:r>
      <w:r w:rsidR="00167B05">
        <w:t>e</w:t>
      </w:r>
      <w:r w:rsidR="002B227C">
        <w:t xml:space="preserve"> file</w:t>
      </w:r>
      <w:r w:rsidR="00167B05">
        <w:t>,</w:t>
      </w:r>
      <w:r w:rsidR="002B227C">
        <w:t xml:space="preserve"> using </w:t>
      </w:r>
      <w:r w:rsidR="003962AC">
        <w:t>a utility included with the WHONET software</w:t>
      </w:r>
      <w:r w:rsidR="00167B05">
        <w:t>. This utility is</w:t>
      </w:r>
      <w:r w:rsidR="003962AC">
        <w:t xml:space="preserve"> available on the “File”, “FAO InFARM (Global)” menu as shown below.</w:t>
      </w:r>
    </w:p>
    <w:p w14:paraId="3A71B2D6" w14:textId="68FEC92E" w:rsidR="003962AC" w:rsidRDefault="00286B8C" w:rsidP="003962AC">
      <w:pPr>
        <w:jc w:val="center"/>
      </w:pPr>
      <w:r w:rsidRPr="00286B8C">
        <w:drawing>
          <wp:inline distT="0" distB="0" distL="0" distR="0" wp14:anchorId="1178E412" wp14:editId="662DAAD0">
            <wp:extent cx="2489703" cy="2420946"/>
            <wp:effectExtent l="0" t="0" r="6350" b="0"/>
            <wp:docPr id="13652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4119" name=""/>
                    <pic:cNvPicPr/>
                  </pic:nvPicPr>
                  <pic:blipFill>
                    <a:blip r:embed="rId10"/>
                    <a:stretch>
                      <a:fillRect/>
                    </a:stretch>
                  </pic:blipFill>
                  <pic:spPr>
                    <a:xfrm>
                      <a:off x="0" y="0"/>
                      <a:ext cx="2544350" cy="2474084"/>
                    </a:xfrm>
                    <a:prstGeom prst="rect">
                      <a:avLst/>
                    </a:prstGeom>
                  </pic:spPr>
                </pic:pic>
              </a:graphicData>
            </a:graphic>
          </wp:inline>
        </w:drawing>
      </w:r>
    </w:p>
    <w:p w14:paraId="22A33454" w14:textId="4EB03C0F" w:rsidR="00880D6D" w:rsidRDefault="00574EC4" w:rsidP="005B3150">
      <w:pPr>
        <w:pStyle w:val="Heading2"/>
        <w:numPr>
          <w:ilvl w:val="0"/>
          <w:numId w:val="7"/>
        </w:numPr>
      </w:pPr>
      <w:bookmarkStart w:id="2" w:name="_Toc213350533"/>
      <w:r>
        <w:lastRenderedPageBreak/>
        <w:t>D</w:t>
      </w:r>
      <w:r w:rsidR="00B87CF2">
        <w:t>ifferences between Option A and Option B reports</w:t>
      </w:r>
      <w:bookmarkEnd w:id="2"/>
    </w:p>
    <w:p w14:paraId="06125D51" w14:textId="4E2A0384" w:rsidR="00E24BDC" w:rsidRDefault="00425499" w:rsidP="00425499">
      <w:r>
        <w:t xml:space="preserve">The InFARM Option A and Option B data files have </w:t>
      </w:r>
      <w:r w:rsidR="002C3DCE">
        <w:t>differing levels of detail</w:t>
      </w:r>
      <w:r>
        <w:t xml:space="preserve">. Option A is an isolate-level export, where Option B only includes summary statistics. This causes the data </w:t>
      </w:r>
      <w:r w:rsidR="00426050">
        <w:t>validation</w:t>
      </w:r>
      <w:r>
        <w:t xml:space="preserve"> reports generated by the system to also differ.</w:t>
      </w:r>
    </w:p>
    <w:p w14:paraId="214F9179" w14:textId="247D44C9" w:rsidR="00E24BDC" w:rsidRDefault="00425499" w:rsidP="00425499">
      <w:r>
        <w:t xml:space="preserve">For example, if you’ve chosen Option A, </w:t>
      </w:r>
      <w:r w:rsidR="002B227C">
        <w:t>the data</w:t>
      </w:r>
      <w:r>
        <w:t xml:space="preserve"> </w:t>
      </w:r>
      <w:r w:rsidR="00426050">
        <w:t>validation</w:t>
      </w:r>
      <w:r>
        <w:t xml:space="preserve"> report will provide you with</w:t>
      </w:r>
      <w:r w:rsidR="00E24BDC">
        <w:t xml:space="preserve"> precise details for the offending isolates, such as the isolate identifier. If </w:t>
      </w:r>
      <w:r w:rsidR="009F3186">
        <w:t>you</w:t>
      </w:r>
      <w:r w:rsidR="00E24BDC">
        <w:t xml:space="preserve"> choose Option B, the </w:t>
      </w:r>
      <w:r w:rsidR="00426050">
        <w:t>validation</w:t>
      </w:r>
      <w:r w:rsidR="00E24BDC">
        <w:t xml:space="preserve"> report will contain information pertaining to groups of isolates with the same issue (there may be many isolates that were summarized into a single InFARM Option B row).</w:t>
      </w:r>
    </w:p>
    <w:p w14:paraId="3979805A" w14:textId="36735941" w:rsidR="009F3186" w:rsidRDefault="00E24BDC" w:rsidP="00425499">
      <w:r>
        <w:t xml:space="preserve">If you need to export Option B data only to the InFARM platform, you may generate an export and </w:t>
      </w:r>
      <w:r w:rsidR="00426050">
        <w:t>validation</w:t>
      </w:r>
      <w:r>
        <w:t xml:space="preserve"> report for Option A </w:t>
      </w:r>
      <w:r w:rsidR="009F3186">
        <w:t xml:space="preserve">temporarily </w:t>
      </w:r>
      <w:r>
        <w:t xml:space="preserve">to obtain the higher resolution </w:t>
      </w:r>
      <w:r w:rsidR="009F3186">
        <w:t xml:space="preserve">associated with the </w:t>
      </w:r>
      <w:r>
        <w:t xml:space="preserve">Option A report. For example, a given issue in the Option B report </w:t>
      </w:r>
      <w:r w:rsidR="009F0ED3">
        <w:t xml:space="preserve">will usually also be present in the </w:t>
      </w:r>
      <w:r w:rsidR="00D50184">
        <w:t xml:space="preserve">matching </w:t>
      </w:r>
      <w:r w:rsidR="009F0ED3">
        <w:t xml:space="preserve">Option A report, just with greater detail because the </w:t>
      </w:r>
      <w:proofErr w:type="gramStart"/>
      <w:r w:rsidR="009F0ED3">
        <w:t>isolate</w:t>
      </w:r>
      <w:proofErr w:type="gramEnd"/>
      <w:r w:rsidR="009F0ED3">
        <w:t xml:space="preserve"> level information is available.</w:t>
      </w:r>
    </w:p>
    <w:p w14:paraId="7B2B6AAB" w14:textId="5ADF096D" w:rsidR="00E24BDC" w:rsidRDefault="009F3186" w:rsidP="00425499">
      <w:r>
        <w:t xml:space="preserve"> </w:t>
      </w:r>
    </w:p>
    <w:p w14:paraId="5A4FB6A3" w14:textId="05DDDE58" w:rsidR="00A55B02" w:rsidRDefault="00A55B02" w:rsidP="00A55B02">
      <w:pPr>
        <w:pStyle w:val="Heading2"/>
        <w:numPr>
          <w:ilvl w:val="0"/>
          <w:numId w:val="7"/>
        </w:numPr>
      </w:pPr>
      <w:bookmarkStart w:id="3" w:name="_Toc213350534"/>
      <w:r>
        <w:t>Report overview</w:t>
      </w:r>
      <w:bookmarkEnd w:id="3"/>
    </w:p>
    <w:p w14:paraId="54F4B039" w14:textId="49CA8A4E" w:rsidR="00A55B02" w:rsidRDefault="00A55B02" w:rsidP="00A55B02">
      <w:r>
        <w:t xml:space="preserve">The data </w:t>
      </w:r>
      <w:r w:rsidR="00426050">
        <w:t>validation</w:t>
      </w:r>
      <w:r>
        <w:t xml:space="preserve"> report is divided into 3 types of issues: </w:t>
      </w:r>
      <w:r w:rsidR="00AA50D6">
        <w:t>missing data summary</w:t>
      </w:r>
      <w:r>
        <w:t xml:space="preserve">, validity checks and consistency checks. Each of these issue types will have two Excel data sheets associated with </w:t>
      </w:r>
      <w:r w:rsidR="00461F85">
        <w:t>them</w:t>
      </w:r>
      <w:r w:rsidR="006000B0">
        <w:t>, one for a summary of the issues and another providing the details. If there are no issues found for a given category, then the</w:t>
      </w:r>
      <w:r w:rsidR="00461F85">
        <w:t>se</w:t>
      </w:r>
      <w:r w:rsidR="006000B0">
        <w:t xml:space="preserve"> Excel worksheets will be omitted. For example, if there are no problems with the mandatory data fields in your data, then your data </w:t>
      </w:r>
      <w:r w:rsidR="00426050">
        <w:t>validation</w:t>
      </w:r>
      <w:r w:rsidR="006000B0">
        <w:t xml:space="preserve"> report will not contain these worksheets.</w:t>
      </w:r>
    </w:p>
    <w:p w14:paraId="3F4F2CBF" w14:textId="45C073D5" w:rsidR="006000B0" w:rsidRDefault="006000B0" w:rsidP="00A55B02">
      <w:r>
        <w:t xml:space="preserve">If your data file passes all the data checks, then your data </w:t>
      </w:r>
      <w:r w:rsidR="00426050">
        <w:t>validation</w:t>
      </w:r>
      <w:r>
        <w:t xml:space="preserve"> report will contain a single worksheet informing you that there were no issues discovered. The WHONET team has modeled our </w:t>
      </w:r>
      <w:r w:rsidR="00426050">
        <w:t>validation</w:t>
      </w:r>
      <w:r>
        <w:t xml:space="preserve"> report around the same types of issues that are raised by the InFARM platform with the intent that you are able to review and improve your </w:t>
      </w:r>
      <w:r w:rsidR="005857A6">
        <w:t xml:space="preserve">local </w:t>
      </w:r>
      <w:r>
        <w:t>data as needed before attempting to submit.</w:t>
      </w:r>
    </w:p>
    <w:p w14:paraId="71156F01" w14:textId="77777777" w:rsidR="003962AC" w:rsidRDefault="003962AC" w:rsidP="00A55B02"/>
    <w:p w14:paraId="78F38408" w14:textId="3CF76B9B" w:rsidR="00D34D7C" w:rsidRDefault="00AA50D6" w:rsidP="00AA50D6">
      <w:pPr>
        <w:pStyle w:val="Heading2"/>
        <w:numPr>
          <w:ilvl w:val="0"/>
          <w:numId w:val="7"/>
        </w:numPr>
      </w:pPr>
      <w:bookmarkStart w:id="4" w:name="_Toc213350535"/>
      <w:r>
        <w:t>Missing data</w:t>
      </w:r>
      <w:r w:rsidR="00663FC8">
        <w:t xml:space="preserve"> checks</w:t>
      </w:r>
      <w:bookmarkEnd w:id="4"/>
    </w:p>
    <w:p w14:paraId="26723A15" w14:textId="6BBD260C" w:rsidR="00AA50D6" w:rsidRDefault="00AA50D6" w:rsidP="00AA50D6">
      <w:r>
        <w:t xml:space="preserve">Certain data fields are mandatory according to the InFARM data protocol. The purpose of this check is to identify isolates that have missing mandatory data values. If there are problems </w:t>
      </w:r>
      <w:r w:rsidR="00CD0211">
        <w:t xml:space="preserve">such as </w:t>
      </w:r>
      <w:r>
        <w:t xml:space="preserve">this in your data file upon export, you will receive summary and details section </w:t>
      </w:r>
      <w:r w:rsidR="00EE255F">
        <w:t>like</w:t>
      </w:r>
      <w:r>
        <w:t xml:space="preserve"> those shown below.</w:t>
      </w:r>
    </w:p>
    <w:p w14:paraId="11260022" w14:textId="280BB2DC" w:rsidR="00AA50D6" w:rsidRDefault="00AA50D6" w:rsidP="00AA50D6">
      <w:pPr>
        <w:jc w:val="center"/>
      </w:pPr>
      <w:r w:rsidRPr="00AA50D6">
        <w:rPr>
          <w:noProof/>
        </w:rPr>
        <w:drawing>
          <wp:inline distT="0" distB="0" distL="0" distR="0" wp14:anchorId="63D978E9" wp14:editId="29007E6E">
            <wp:extent cx="4388076" cy="1320868"/>
            <wp:effectExtent l="0" t="0" r="0" b="0"/>
            <wp:docPr id="152110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0220" name=""/>
                    <pic:cNvPicPr/>
                  </pic:nvPicPr>
                  <pic:blipFill>
                    <a:blip r:embed="rId11"/>
                    <a:stretch>
                      <a:fillRect/>
                    </a:stretch>
                  </pic:blipFill>
                  <pic:spPr>
                    <a:xfrm>
                      <a:off x="0" y="0"/>
                      <a:ext cx="4388076" cy="1320868"/>
                    </a:xfrm>
                    <a:prstGeom prst="rect">
                      <a:avLst/>
                    </a:prstGeom>
                  </pic:spPr>
                </pic:pic>
              </a:graphicData>
            </a:graphic>
          </wp:inline>
        </w:drawing>
      </w:r>
    </w:p>
    <w:p w14:paraId="7062BFDE" w14:textId="1888BA0E" w:rsidR="00EE255F" w:rsidRDefault="00EE255F" w:rsidP="00AA50D6">
      <w:r>
        <w:t xml:space="preserve">In this example, generated with </w:t>
      </w:r>
      <w:r w:rsidR="00E20522">
        <w:t>fabricated</w:t>
      </w:r>
      <w:r>
        <w:t xml:space="preserve"> data, you can see that there are 194 issues with the ORIGIN data field and the same number with the SPECIES data field. Selecting the “Missing data details” </w:t>
      </w:r>
      <w:r>
        <w:lastRenderedPageBreak/>
        <w:t xml:space="preserve">worksheet instead, you will be provided with a complete list of the </w:t>
      </w:r>
      <w:r w:rsidR="0029528F">
        <w:t>problematic</w:t>
      </w:r>
      <w:r>
        <w:t xml:space="preserve"> isolates. Note that the “Sample number” and “Isolate number” fields correspond to the encrypted values present in the InFARM data export. The “Sample number – Local code” and “Isolate number – Local code” fields should reflect your local values for these data fields</w:t>
      </w:r>
      <w:r w:rsidR="00EB0189">
        <w:t xml:space="preserve"> in the WHONET data file</w:t>
      </w:r>
      <w:r w:rsidR="00322945">
        <w:t>s</w:t>
      </w:r>
      <w:r>
        <w:t xml:space="preserve">. This is very useful information for locating the original isolates, since your local isolate </w:t>
      </w:r>
      <w:r w:rsidR="00E20522">
        <w:t>numbers</w:t>
      </w:r>
      <w:r>
        <w:t xml:space="preserve"> should be unique as a condition of InFARM reporting.</w:t>
      </w:r>
      <w:r w:rsidR="00A01834">
        <w:t xml:space="preserve"> </w:t>
      </w:r>
    </w:p>
    <w:p w14:paraId="790D883C" w14:textId="2C962C04" w:rsidR="00EE255F" w:rsidRDefault="00EE255F" w:rsidP="00AA50D6">
      <w:r w:rsidRPr="00EE255F">
        <w:rPr>
          <w:noProof/>
        </w:rPr>
        <w:drawing>
          <wp:inline distT="0" distB="0" distL="0" distR="0" wp14:anchorId="1823567E" wp14:editId="4FA68F68">
            <wp:extent cx="5943600" cy="483235"/>
            <wp:effectExtent l="0" t="0" r="0" b="0"/>
            <wp:docPr id="1229891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91938" name=""/>
                    <pic:cNvPicPr/>
                  </pic:nvPicPr>
                  <pic:blipFill>
                    <a:blip r:embed="rId12"/>
                    <a:stretch>
                      <a:fillRect/>
                    </a:stretch>
                  </pic:blipFill>
                  <pic:spPr>
                    <a:xfrm>
                      <a:off x="0" y="0"/>
                      <a:ext cx="5943600" cy="483235"/>
                    </a:xfrm>
                    <a:prstGeom prst="rect">
                      <a:avLst/>
                    </a:prstGeom>
                  </pic:spPr>
                </pic:pic>
              </a:graphicData>
            </a:graphic>
          </wp:inline>
        </w:drawing>
      </w:r>
    </w:p>
    <w:p w14:paraId="1BCF9024" w14:textId="21CE8FB6" w:rsidR="00CD0211" w:rsidRDefault="00E20522" w:rsidP="00AA50D6">
      <w:r>
        <w:t xml:space="preserve">If there are only a few isolates which are missing data, then this can usually be corrected by editing the existing WHONET data file using the “Open data file” feature found on the “Data entry” menu. However, if there seems to be a high proportion of isolates which are missing key data, then there may be a more fundamental improvement that can be made. For example, if </w:t>
      </w:r>
      <w:r w:rsidR="00FA2C83">
        <w:t>a</w:t>
      </w:r>
      <w:r>
        <w:t xml:space="preserve"> facility uses the BacLink software to generate </w:t>
      </w:r>
      <w:r w:rsidR="00FA2C83">
        <w:t>the</w:t>
      </w:r>
      <w:r>
        <w:t xml:space="preserve"> WHONET data files, then perhaps there is a missing code definition corresponding to the ORIGIN or SPECIES fields</w:t>
      </w:r>
      <w:r w:rsidR="00FA2C83">
        <w:t xml:space="preserve"> which eventually lead to missing data in the InFARM export</w:t>
      </w:r>
      <w:r>
        <w:t>. In cases such as this, you can typically regenerate your WHONET data file with BacLink again after you have defined or corrected the code</w:t>
      </w:r>
      <w:r w:rsidR="00943091">
        <w:t>s</w:t>
      </w:r>
      <w:r>
        <w:t>, reducing the issues identified in a subsequent InFARM export using the corrected data.</w:t>
      </w:r>
      <w:r w:rsidR="007A364D">
        <w:t xml:space="preserve"> </w:t>
      </w:r>
    </w:p>
    <w:p w14:paraId="4C1E91D8" w14:textId="77777777" w:rsidR="003962AC" w:rsidRDefault="003962AC" w:rsidP="00AA50D6"/>
    <w:p w14:paraId="7B4A4687" w14:textId="5B4601FC" w:rsidR="00FA2C83" w:rsidRDefault="00796417" w:rsidP="00426F6D">
      <w:pPr>
        <w:pStyle w:val="Heading2"/>
        <w:numPr>
          <w:ilvl w:val="0"/>
          <w:numId w:val="7"/>
        </w:numPr>
      </w:pPr>
      <w:bookmarkStart w:id="5" w:name="_Toc213350536"/>
      <w:r>
        <w:t>Validation</w:t>
      </w:r>
      <w:r w:rsidR="00663FC8">
        <w:t xml:space="preserve"> checks</w:t>
      </w:r>
      <w:bookmarkEnd w:id="5"/>
    </w:p>
    <w:p w14:paraId="21195E5C" w14:textId="7F9E48AD" w:rsidR="00275BDE" w:rsidRDefault="00796417" w:rsidP="00796417">
      <w:r>
        <w:t xml:space="preserve">The second category of issues detectable by the reporting system is for determining whether </w:t>
      </w:r>
      <w:r w:rsidR="00676356">
        <w:t>the data values provided are valid. For example, certain InFARM fields, such as MICROORG (isolated organism) and SPECIMEN (specimen type) must use values from their respective lists indicated in the InFARM protocol documentation.</w:t>
      </w:r>
      <w:r w:rsidR="00945265">
        <w:t xml:space="preserve"> There are also validity checks to ensure that the XCOORD and YCOORD are within the expected ranges, a check to ensure that free text fields do not exceed the maximum length specified by InFARM, and a check to ensure that at least one antimicrobial was tested for a given isolate.</w:t>
      </w:r>
    </w:p>
    <w:p w14:paraId="1C3EEBCD" w14:textId="05C1466C" w:rsidR="00A947B7" w:rsidRDefault="00A947B7" w:rsidP="00A947B7">
      <w:pPr>
        <w:jc w:val="center"/>
      </w:pPr>
      <w:r w:rsidRPr="00A947B7">
        <w:drawing>
          <wp:inline distT="0" distB="0" distL="0" distR="0" wp14:anchorId="62B759ED" wp14:editId="2F01B7E2">
            <wp:extent cx="5512083" cy="1301817"/>
            <wp:effectExtent l="0" t="0" r="0" b="0"/>
            <wp:docPr id="139894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4483" name=""/>
                    <pic:cNvPicPr/>
                  </pic:nvPicPr>
                  <pic:blipFill>
                    <a:blip r:embed="rId13"/>
                    <a:stretch>
                      <a:fillRect/>
                    </a:stretch>
                  </pic:blipFill>
                  <pic:spPr>
                    <a:xfrm>
                      <a:off x="0" y="0"/>
                      <a:ext cx="5512083" cy="1301817"/>
                    </a:xfrm>
                    <a:prstGeom prst="rect">
                      <a:avLst/>
                    </a:prstGeom>
                  </pic:spPr>
                </pic:pic>
              </a:graphicData>
            </a:graphic>
          </wp:inline>
        </w:drawing>
      </w:r>
    </w:p>
    <w:p w14:paraId="1E7C8819" w14:textId="6FA7C418" w:rsidR="00A947B7" w:rsidRDefault="00A947B7" w:rsidP="00A947B7">
      <w:r>
        <w:t>Please refer to the InFARM documentation for specific details regarding valid codes, field lengths and acceptable numeric ranges.</w:t>
      </w:r>
    </w:p>
    <w:p w14:paraId="26836D41" w14:textId="77777777" w:rsidR="00A5744C" w:rsidRDefault="00A5744C" w:rsidP="00A947B7"/>
    <w:p w14:paraId="63F688DB" w14:textId="1A52A27E" w:rsidR="00A5744C" w:rsidRDefault="00663FC8" w:rsidP="00663FC8">
      <w:pPr>
        <w:pStyle w:val="Heading2"/>
        <w:numPr>
          <w:ilvl w:val="0"/>
          <w:numId w:val="7"/>
        </w:numPr>
      </w:pPr>
      <w:bookmarkStart w:id="6" w:name="_Toc213350537"/>
      <w:r>
        <w:t>Consistency</w:t>
      </w:r>
      <w:r w:rsidR="004D4A88">
        <w:t xml:space="preserve"> checks</w:t>
      </w:r>
      <w:bookmarkEnd w:id="6"/>
    </w:p>
    <w:p w14:paraId="12D70EB8" w14:textId="77777777" w:rsidR="00D950A0" w:rsidRDefault="00796BE9" w:rsidP="00796BE9">
      <w:r>
        <w:t xml:space="preserve">The final category of issues presented by the report checks to ensure consistency between certain data fields according to the InFARM protocol. The SPECIMEN, ORIGIN, SPECIES and MICROORG field have </w:t>
      </w:r>
      <w:r>
        <w:lastRenderedPageBreak/>
        <w:t xml:space="preserve">restrictions imposed by the protocol which dictate that they are only relevant for certain surveillance programs. </w:t>
      </w:r>
    </w:p>
    <w:p w14:paraId="7214E44C" w14:textId="2FB64C28" w:rsidR="00796BE9" w:rsidRDefault="00796BE9" w:rsidP="00796BE9">
      <w:r>
        <w:t xml:space="preserve">There is an additional check which ensures that </w:t>
      </w:r>
      <w:r w:rsidR="00D950A0">
        <w:t>the antimicrobial interpretations provided in the data file are consistent with the INT_CRITERIA field. For example, if the data row indicates that it is reporting clinical breakpoints, then the antimicrobial interpretation columns should have corresponding values (R, I, S, NS). If the data row indicates that it is for ECOFFs, then the interpretation columns should have values of WT and NWT.</w:t>
      </w:r>
    </w:p>
    <w:p w14:paraId="27F8C874" w14:textId="0CC7E5EF" w:rsidR="00945265" w:rsidRDefault="00A576D6" w:rsidP="00BD7418">
      <w:pPr>
        <w:jc w:val="center"/>
      </w:pPr>
      <w:r w:rsidRPr="00A576D6">
        <w:drawing>
          <wp:inline distT="0" distB="0" distL="0" distR="0" wp14:anchorId="322DBEC6" wp14:editId="343D26AF">
            <wp:extent cx="5943600" cy="826770"/>
            <wp:effectExtent l="0" t="0" r="0" b="0"/>
            <wp:docPr id="217659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59372" name=""/>
                    <pic:cNvPicPr/>
                  </pic:nvPicPr>
                  <pic:blipFill>
                    <a:blip r:embed="rId14"/>
                    <a:stretch>
                      <a:fillRect/>
                    </a:stretch>
                  </pic:blipFill>
                  <pic:spPr>
                    <a:xfrm>
                      <a:off x="0" y="0"/>
                      <a:ext cx="5943600" cy="826770"/>
                    </a:xfrm>
                    <a:prstGeom prst="rect">
                      <a:avLst/>
                    </a:prstGeom>
                  </pic:spPr>
                </pic:pic>
              </a:graphicData>
            </a:graphic>
          </wp:inline>
        </w:drawing>
      </w:r>
    </w:p>
    <w:sectPr w:rsidR="00945265" w:rsidSect="00D825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D43C" w14:textId="77777777" w:rsidR="00232A6B" w:rsidRDefault="00232A6B">
      <w:pPr>
        <w:spacing w:after="0" w:line="240" w:lineRule="auto"/>
      </w:pPr>
      <w:r>
        <w:separator/>
      </w:r>
    </w:p>
  </w:endnote>
  <w:endnote w:type="continuationSeparator" w:id="0">
    <w:p w14:paraId="1322B967" w14:textId="77777777" w:rsidR="00232A6B" w:rsidRDefault="0023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EB4D" w14:textId="77777777" w:rsidR="00880822" w:rsidRDefault="00000000">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02B53A07" wp14:editId="7D7FCD98">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fullDate="2023-11-13T00:00:00Z">
                                <w:dateFormat w:val="MMMM d, yyyy"/>
                                <w:lid w:val="en-US"/>
                                <w:storeMappedDataAs w:val="dateTime"/>
                                <w:calendar w:val="gregorian"/>
                              </w:date>
                            </w:sdtPr>
                            <w:sdtContent>
                              <w:p w14:paraId="10C70DDA" w14:textId="77777777" w:rsidR="00880822" w:rsidRDefault="00000000">
                                <w:pPr>
                                  <w:jc w:val="right"/>
                                  <w:rPr>
                                    <w:color w:val="7F7F7F" w:themeColor="text1" w:themeTint="80"/>
                                  </w:rPr>
                                </w:pPr>
                                <w:r>
                                  <w:rPr>
                                    <w:color w:val="7F7F7F" w:themeColor="text1" w:themeTint="80"/>
                                  </w:rPr>
                                  <w:t xml:space="preserve">     </w:t>
                                </w:r>
                              </w:p>
                            </w:sdtContent>
                          </w:sdt>
                          <w:p w14:paraId="3F6B2828" w14:textId="77777777" w:rsidR="00880822" w:rsidRDefault="0088082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2B53A07" id="Group 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fullDate="2023-11-13T00:00:00Z">
                          <w:dateFormat w:val="MMMM d, yyyy"/>
                          <w:lid w:val="en-US"/>
                          <w:storeMappedDataAs w:val="dateTime"/>
                          <w:calendar w:val="gregorian"/>
                        </w:date>
                      </w:sdtPr>
                      <w:sdtContent>
                        <w:p w14:paraId="10C70DDA" w14:textId="77777777" w:rsidR="00000000" w:rsidRDefault="00000000">
                          <w:pPr>
                            <w:jc w:val="right"/>
                            <w:rPr>
                              <w:color w:val="7F7F7F" w:themeColor="text1" w:themeTint="80"/>
                            </w:rPr>
                          </w:pPr>
                          <w:r>
                            <w:rPr>
                              <w:color w:val="7F7F7F" w:themeColor="text1" w:themeTint="80"/>
                            </w:rPr>
                            <w:t xml:space="preserve">     </w:t>
                          </w:r>
                        </w:p>
                      </w:sdtContent>
                    </w:sdt>
                    <w:p w14:paraId="3F6B2828" w14:textId="77777777" w:rsidR="00000000" w:rsidRDefault="00000000">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AFF431F" wp14:editId="04D94D6D">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3B1EDD" w14:textId="77777777" w:rsidR="00880822" w:rsidRDefault="0000000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F431F" id="Rectangle 8"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B3B1EDD" w14:textId="77777777" w:rsidR="00880822" w:rsidRDefault="0000000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F824C" w14:textId="77777777" w:rsidR="00232A6B" w:rsidRDefault="00232A6B">
      <w:pPr>
        <w:spacing w:after="0" w:line="240" w:lineRule="auto"/>
      </w:pPr>
      <w:r>
        <w:separator/>
      </w:r>
    </w:p>
  </w:footnote>
  <w:footnote w:type="continuationSeparator" w:id="0">
    <w:p w14:paraId="6C59271D" w14:textId="77777777" w:rsidR="00232A6B" w:rsidRDefault="00232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F4C"/>
    <w:multiLevelType w:val="hybridMultilevel"/>
    <w:tmpl w:val="02A007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14A92"/>
    <w:multiLevelType w:val="hybridMultilevel"/>
    <w:tmpl w:val="63E243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D72EA"/>
    <w:multiLevelType w:val="hybridMultilevel"/>
    <w:tmpl w:val="145ED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73F40"/>
    <w:multiLevelType w:val="hybridMultilevel"/>
    <w:tmpl w:val="F1D2B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54C0C"/>
    <w:multiLevelType w:val="hybridMultilevel"/>
    <w:tmpl w:val="98A8E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B0CC7"/>
    <w:multiLevelType w:val="hybridMultilevel"/>
    <w:tmpl w:val="65283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4115A"/>
    <w:multiLevelType w:val="hybridMultilevel"/>
    <w:tmpl w:val="AFAAB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707687">
    <w:abstractNumId w:val="3"/>
  </w:num>
  <w:num w:numId="2" w16cid:durableId="1154300545">
    <w:abstractNumId w:val="1"/>
  </w:num>
  <w:num w:numId="3" w16cid:durableId="197278791">
    <w:abstractNumId w:val="5"/>
  </w:num>
  <w:num w:numId="4" w16cid:durableId="706879054">
    <w:abstractNumId w:val="6"/>
  </w:num>
  <w:num w:numId="5" w16cid:durableId="1861159422">
    <w:abstractNumId w:val="0"/>
  </w:num>
  <w:num w:numId="6" w16cid:durableId="2120760752">
    <w:abstractNumId w:val="4"/>
  </w:num>
  <w:num w:numId="7" w16cid:durableId="549732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3C"/>
    <w:rsid w:val="0000278B"/>
    <w:rsid w:val="000104DC"/>
    <w:rsid w:val="00011F5E"/>
    <w:rsid w:val="00023FCB"/>
    <w:rsid w:val="00085979"/>
    <w:rsid w:val="00086CBF"/>
    <w:rsid w:val="000957ED"/>
    <w:rsid w:val="000965CC"/>
    <w:rsid w:val="000967B7"/>
    <w:rsid w:val="000A1E42"/>
    <w:rsid w:val="000B73F8"/>
    <w:rsid w:val="00113180"/>
    <w:rsid w:val="00146C37"/>
    <w:rsid w:val="00162098"/>
    <w:rsid w:val="00167B05"/>
    <w:rsid w:val="00180D7F"/>
    <w:rsid w:val="0018386C"/>
    <w:rsid w:val="001F66BA"/>
    <w:rsid w:val="0022084B"/>
    <w:rsid w:val="0023242C"/>
    <w:rsid w:val="00232A6B"/>
    <w:rsid w:val="00275BDE"/>
    <w:rsid w:val="00282B38"/>
    <w:rsid w:val="00285F8D"/>
    <w:rsid w:val="00286B8C"/>
    <w:rsid w:val="002907D6"/>
    <w:rsid w:val="0029528F"/>
    <w:rsid w:val="002973C0"/>
    <w:rsid w:val="002B227C"/>
    <w:rsid w:val="002C3DCE"/>
    <w:rsid w:val="002D473A"/>
    <w:rsid w:val="002F78A7"/>
    <w:rsid w:val="00316BF7"/>
    <w:rsid w:val="00322945"/>
    <w:rsid w:val="00361941"/>
    <w:rsid w:val="00391CC2"/>
    <w:rsid w:val="003962AC"/>
    <w:rsid w:val="003A13B6"/>
    <w:rsid w:val="003B1AE3"/>
    <w:rsid w:val="003C0CBA"/>
    <w:rsid w:val="003D32D9"/>
    <w:rsid w:val="003E1C3D"/>
    <w:rsid w:val="003E6979"/>
    <w:rsid w:val="003F3356"/>
    <w:rsid w:val="00425499"/>
    <w:rsid w:val="00426050"/>
    <w:rsid w:val="00426F6D"/>
    <w:rsid w:val="0043045F"/>
    <w:rsid w:val="00461F85"/>
    <w:rsid w:val="00477B43"/>
    <w:rsid w:val="004A3C95"/>
    <w:rsid w:val="004B6FC6"/>
    <w:rsid w:val="004B76AD"/>
    <w:rsid w:val="004D4A88"/>
    <w:rsid w:val="004D4ACE"/>
    <w:rsid w:val="004E0BF2"/>
    <w:rsid w:val="004F496E"/>
    <w:rsid w:val="005477DA"/>
    <w:rsid w:val="0056121C"/>
    <w:rsid w:val="00565561"/>
    <w:rsid w:val="00574EC4"/>
    <w:rsid w:val="005857A6"/>
    <w:rsid w:val="005B3150"/>
    <w:rsid w:val="006000B0"/>
    <w:rsid w:val="00601992"/>
    <w:rsid w:val="006355E5"/>
    <w:rsid w:val="00643C7C"/>
    <w:rsid w:val="006472CB"/>
    <w:rsid w:val="006562ED"/>
    <w:rsid w:val="00663FC8"/>
    <w:rsid w:val="00665A70"/>
    <w:rsid w:val="00676356"/>
    <w:rsid w:val="00690B4D"/>
    <w:rsid w:val="006A0796"/>
    <w:rsid w:val="006D0808"/>
    <w:rsid w:val="006F12B4"/>
    <w:rsid w:val="006F2D53"/>
    <w:rsid w:val="007375BA"/>
    <w:rsid w:val="00737C6B"/>
    <w:rsid w:val="0074133A"/>
    <w:rsid w:val="00745183"/>
    <w:rsid w:val="00752A09"/>
    <w:rsid w:val="00796417"/>
    <w:rsid w:val="00796BE9"/>
    <w:rsid w:val="007A2D9B"/>
    <w:rsid w:val="007A364D"/>
    <w:rsid w:val="007F5263"/>
    <w:rsid w:val="00800357"/>
    <w:rsid w:val="00801B65"/>
    <w:rsid w:val="0086543F"/>
    <w:rsid w:val="00867338"/>
    <w:rsid w:val="00880822"/>
    <w:rsid w:val="00880D6D"/>
    <w:rsid w:val="008C46A1"/>
    <w:rsid w:val="008C73CE"/>
    <w:rsid w:val="008D523C"/>
    <w:rsid w:val="008D65D0"/>
    <w:rsid w:val="008E1A90"/>
    <w:rsid w:val="00943091"/>
    <w:rsid w:val="00945265"/>
    <w:rsid w:val="00977AF3"/>
    <w:rsid w:val="0098078A"/>
    <w:rsid w:val="009B37DA"/>
    <w:rsid w:val="009C1E77"/>
    <w:rsid w:val="009F0ED3"/>
    <w:rsid w:val="009F3186"/>
    <w:rsid w:val="00A01834"/>
    <w:rsid w:val="00A03B25"/>
    <w:rsid w:val="00A446F4"/>
    <w:rsid w:val="00A50E37"/>
    <w:rsid w:val="00A55B02"/>
    <w:rsid w:val="00A5744C"/>
    <w:rsid w:val="00A576D6"/>
    <w:rsid w:val="00A71D06"/>
    <w:rsid w:val="00A86515"/>
    <w:rsid w:val="00A86B8D"/>
    <w:rsid w:val="00A947B7"/>
    <w:rsid w:val="00A9618D"/>
    <w:rsid w:val="00AA50D6"/>
    <w:rsid w:val="00B130B0"/>
    <w:rsid w:val="00B13A64"/>
    <w:rsid w:val="00B40D3D"/>
    <w:rsid w:val="00B42C0C"/>
    <w:rsid w:val="00B661A7"/>
    <w:rsid w:val="00B87CF2"/>
    <w:rsid w:val="00B96E54"/>
    <w:rsid w:val="00BB1835"/>
    <w:rsid w:val="00BC07CC"/>
    <w:rsid w:val="00BD7418"/>
    <w:rsid w:val="00BD749C"/>
    <w:rsid w:val="00BE2EB2"/>
    <w:rsid w:val="00BF69BE"/>
    <w:rsid w:val="00C41F8B"/>
    <w:rsid w:val="00C46E93"/>
    <w:rsid w:val="00C549F8"/>
    <w:rsid w:val="00C65D31"/>
    <w:rsid w:val="00C84EDB"/>
    <w:rsid w:val="00CA4AD9"/>
    <w:rsid w:val="00CD0211"/>
    <w:rsid w:val="00D26CE8"/>
    <w:rsid w:val="00D31519"/>
    <w:rsid w:val="00D34D7C"/>
    <w:rsid w:val="00D46C85"/>
    <w:rsid w:val="00D50184"/>
    <w:rsid w:val="00D64027"/>
    <w:rsid w:val="00D82582"/>
    <w:rsid w:val="00D8436C"/>
    <w:rsid w:val="00D950A0"/>
    <w:rsid w:val="00D96434"/>
    <w:rsid w:val="00DC1079"/>
    <w:rsid w:val="00DD4921"/>
    <w:rsid w:val="00E20522"/>
    <w:rsid w:val="00E22AA4"/>
    <w:rsid w:val="00E24BDC"/>
    <w:rsid w:val="00E31359"/>
    <w:rsid w:val="00E513E4"/>
    <w:rsid w:val="00E97655"/>
    <w:rsid w:val="00EB0189"/>
    <w:rsid w:val="00EB7E62"/>
    <w:rsid w:val="00EC13C9"/>
    <w:rsid w:val="00EE255F"/>
    <w:rsid w:val="00F009A3"/>
    <w:rsid w:val="00F1038B"/>
    <w:rsid w:val="00F275CC"/>
    <w:rsid w:val="00F315F8"/>
    <w:rsid w:val="00F563D1"/>
    <w:rsid w:val="00F61F72"/>
    <w:rsid w:val="00F83A01"/>
    <w:rsid w:val="00F97315"/>
    <w:rsid w:val="00FA2C83"/>
    <w:rsid w:val="00FD65A5"/>
    <w:rsid w:val="00FE05D1"/>
    <w:rsid w:val="00FF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F3FF4"/>
  <w15:chartTrackingRefBased/>
  <w15:docId w15:val="{3719C1B7-B984-40AF-90EB-CD34A775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3C"/>
    <w:rPr>
      <w:kern w:val="0"/>
      <w14:ligatures w14:val="none"/>
    </w:rPr>
  </w:style>
  <w:style w:type="paragraph" w:styleId="Heading1">
    <w:name w:val="heading 1"/>
    <w:basedOn w:val="Normal"/>
    <w:next w:val="Normal"/>
    <w:link w:val="Heading1Char"/>
    <w:uiPriority w:val="9"/>
    <w:qFormat/>
    <w:rsid w:val="008D5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5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5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5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5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23C"/>
    <w:rPr>
      <w:rFonts w:eastAsiaTheme="majorEastAsia" w:cstheme="majorBidi"/>
      <w:color w:val="272727" w:themeColor="text1" w:themeTint="D8"/>
    </w:rPr>
  </w:style>
  <w:style w:type="paragraph" w:styleId="Title">
    <w:name w:val="Title"/>
    <w:basedOn w:val="Normal"/>
    <w:next w:val="Normal"/>
    <w:link w:val="TitleChar"/>
    <w:uiPriority w:val="10"/>
    <w:qFormat/>
    <w:rsid w:val="008D5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23C"/>
    <w:pPr>
      <w:spacing w:before="160"/>
      <w:jc w:val="center"/>
    </w:pPr>
    <w:rPr>
      <w:i/>
      <w:iCs/>
      <w:color w:val="404040" w:themeColor="text1" w:themeTint="BF"/>
    </w:rPr>
  </w:style>
  <w:style w:type="character" w:customStyle="1" w:styleId="QuoteChar">
    <w:name w:val="Quote Char"/>
    <w:basedOn w:val="DefaultParagraphFont"/>
    <w:link w:val="Quote"/>
    <w:uiPriority w:val="29"/>
    <w:rsid w:val="008D523C"/>
    <w:rPr>
      <w:i/>
      <w:iCs/>
      <w:color w:val="404040" w:themeColor="text1" w:themeTint="BF"/>
    </w:rPr>
  </w:style>
  <w:style w:type="paragraph" w:styleId="ListParagraph">
    <w:name w:val="List Paragraph"/>
    <w:basedOn w:val="Normal"/>
    <w:uiPriority w:val="34"/>
    <w:qFormat/>
    <w:rsid w:val="008D523C"/>
    <w:pPr>
      <w:ind w:left="720"/>
      <w:contextualSpacing/>
    </w:pPr>
  </w:style>
  <w:style w:type="character" w:styleId="IntenseEmphasis">
    <w:name w:val="Intense Emphasis"/>
    <w:basedOn w:val="DefaultParagraphFont"/>
    <w:uiPriority w:val="21"/>
    <w:qFormat/>
    <w:rsid w:val="008D523C"/>
    <w:rPr>
      <w:i/>
      <w:iCs/>
      <w:color w:val="0F4761" w:themeColor="accent1" w:themeShade="BF"/>
    </w:rPr>
  </w:style>
  <w:style w:type="paragraph" w:styleId="IntenseQuote">
    <w:name w:val="Intense Quote"/>
    <w:basedOn w:val="Normal"/>
    <w:next w:val="Normal"/>
    <w:link w:val="IntenseQuoteChar"/>
    <w:uiPriority w:val="30"/>
    <w:qFormat/>
    <w:rsid w:val="008D5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23C"/>
    <w:rPr>
      <w:i/>
      <w:iCs/>
      <w:color w:val="0F4761" w:themeColor="accent1" w:themeShade="BF"/>
    </w:rPr>
  </w:style>
  <w:style w:type="character" w:styleId="IntenseReference">
    <w:name w:val="Intense Reference"/>
    <w:basedOn w:val="DefaultParagraphFont"/>
    <w:uiPriority w:val="32"/>
    <w:qFormat/>
    <w:rsid w:val="008D523C"/>
    <w:rPr>
      <w:b/>
      <w:bCs/>
      <w:smallCaps/>
      <w:color w:val="0F4761" w:themeColor="accent1" w:themeShade="BF"/>
      <w:spacing w:val="5"/>
    </w:rPr>
  </w:style>
  <w:style w:type="character" w:styleId="Hyperlink">
    <w:name w:val="Hyperlink"/>
    <w:basedOn w:val="DefaultParagraphFont"/>
    <w:uiPriority w:val="99"/>
    <w:unhideWhenUsed/>
    <w:rsid w:val="008D523C"/>
    <w:rPr>
      <w:color w:val="467886" w:themeColor="hyperlink"/>
      <w:u w:val="single"/>
    </w:rPr>
  </w:style>
  <w:style w:type="paragraph" w:styleId="Footer">
    <w:name w:val="footer"/>
    <w:basedOn w:val="Normal"/>
    <w:link w:val="FooterChar"/>
    <w:uiPriority w:val="99"/>
    <w:unhideWhenUsed/>
    <w:rsid w:val="008D5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23C"/>
    <w:rPr>
      <w:kern w:val="0"/>
      <w14:ligatures w14:val="none"/>
    </w:rPr>
  </w:style>
  <w:style w:type="paragraph" w:styleId="TOCHeading">
    <w:name w:val="TOC Heading"/>
    <w:basedOn w:val="Heading1"/>
    <w:next w:val="Normal"/>
    <w:uiPriority w:val="39"/>
    <w:unhideWhenUsed/>
    <w:qFormat/>
    <w:rsid w:val="008D523C"/>
    <w:pPr>
      <w:spacing w:before="240" w:after="0"/>
      <w:outlineLvl w:val="9"/>
    </w:pPr>
    <w:rPr>
      <w:sz w:val="32"/>
      <w:szCs w:val="32"/>
    </w:rPr>
  </w:style>
  <w:style w:type="paragraph" w:styleId="TOC2">
    <w:name w:val="toc 2"/>
    <w:basedOn w:val="Normal"/>
    <w:next w:val="Normal"/>
    <w:autoRedefine/>
    <w:uiPriority w:val="39"/>
    <w:unhideWhenUsed/>
    <w:rsid w:val="008D523C"/>
    <w:pPr>
      <w:spacing w:after="100"/>
      <w:ind w:left="220"/>
    </w:pPr>
  </w:style>
  <w:style w:type="character" w:styleId="UnresolvedMention">
    <w:name w:val="Unresolved Mention"/>
    <w:basedOn w:val="DefaultParagraphFont"/>
    <w:uiPriority w:val="99"/>
    <w:semiHidden/>
    <w:unhideWhenUsed/>
    <w:rsid w:val="004D4ACE"/>
    <w:rPr>
      <w:color w:val="605E5C"/>
      <w:shd w:val="clear" w:color="auto" w:fill="E1DFDD"/>
    </w:rPr>
  </w:style>
  <w:style w:type="paragraph" w:styleId="Header">
    <w:name w:val="header"/>
    <w:basedOn w:val="Normal"/>
    <w:link w:val="HeaderChar"/>
    <w:uiPriority w:val="99"/>
    <w:unhideWhenUsed/>
    <w:rsid w:val="00980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78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ao.org/antimicrobial-resistance/resources/database/infarm/en/"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5</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Clark</dc:creator>
  <cp:keywords/>
  <dc:description/>
  <cp:lastModifiedBy>Adam Clark</cp:lastModifiedBy>
  <cp:revision>129</cp:revision>
  <cp:lastPrinted>2025-10-30T17:31:00Z</cp:lastPrinted>
  <dcterms:created xsi:type="dcterms:W3CDTF">2024-03-06T14:46:00Z</dcterms:created>
  <dcterms:modified xsi:type="dcterms:W3CDTF">2025-11-07T00:41:00Z</dcterms:modified>
</cp:coreProperties>
</file>